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0CD" w:rsidRDefault="004960CD">
      <w:pPr>
        <w:tabs>
          <w:tab w:val="left" w:pos="3160"/>
        </w:tabs>
        <w:spacing w:line="560" w:lineRule="exact"/>
      </w:pPr>
    </w:p>
    <w:p w:rsidR="004960CD" w:rsidRDefault="004960CD">
      <w:pPr>
        <w:spacing w:line="590" w:lineRule="exact"/>
        <w:jc w:val="center"/>
        <w:rPr>
          <w:rFonts w:ascii="创艺简标宋" w:eastAsia="创艺简标宋"/>
          <w:sz w:val="40"/>
          <w:szCs w:val="40"/>
        </w:rPr>
      </w:pPr>
      <w:bookmarkStart w:id="0" w:name="title"/>
      <w:r>
        <w:rPr>
          <w:rFonts w:ascii="创艺简标宋" w:eastAsia="创艺简标宋" w:hint="eastAsia"/>
          <w:sz w:val="40"/>
          <w:szCs w:val="40"/>
        </w:rPr>
        <w:t>广东乳源农村商业银行股份有限公司</w:t>
      </w:r>
    </w:p>
    <w:p w:rsidR="004960CD" w:rsidRDefault="004960CD">
      <w:pPr>
        <w:spacing w:line="590" w:lineRule="exact"/>
        <w:jc w:val="center"/>
        <w:rPr>
          <w:rFonts w:ascii="创艺简标宋" w:eastAsia="创艺简标宋"/>
          <w:sz w:val="40"/>
          <w:szCs w:val="40"/>
        </w:rPr>
      </w:pPr>
      <w:r>
        <w:rPr>
          <w:rFonts w:ascii="创艺简标宋" w:eastAsia="创艺简标宋" w:hint="eastAsia"/>
          <w:sz w:val="40"/>
          <w:szCs w:val="40"/>
        </w:rPr>
        <w:t>关于2024年第一季度关联交易情况的报告</w:t>
      </w:r>
      <w:bookmarkEnd w:id="0"/>
    </w:p>
    <w:p w:rsidR="004960CD" w:rsidRDefault="004960CD">
      <w:pPr>
        <w:tabs>
          <w:tab w:val="left" w:pos="3160"/>
        </w:tabs>
        <w:spacing w:line="590" w:lineRule="exact"/>
      </w:pPr>
    </w:p>
    <w:p w:rsidR="004960CD" w:rsidRDefault="004960CD">
      <w:pPr>
        <w:tabs>
          <w:tab w:val="left" w:pos="3160"/>
        </w:tabs>
        <w:spacing w:line="590" w:lineRule="exact"/>
        <w:rPr>
          <w:rFonts w:ascii="仿宋_GB2312" w:eastAsia="仿宋_GB2312"/>
          <w:sz w:val="32"/>
          <w:szCs w:val="32"/>
        </w:rPr>
      </w:pPr>
    </w:p>
    <w:p w:rsidR="004960CD" w:rsidRDefault="004960CD" w:rsidP="00C174F1">
      <w:pPr>
        <w:widowControl/>
        <w:spacing w:line="540" w:lineRule="atLeast"/>
        <w:ind w:firstLineChars="200" w:firstLine="637"/>
        <w:jc w:val="left"/>
        <w:rPr>
          <w:rFonts w:ascii="仿宋_GB2312" w:eastAsia="仿宋_GB2312"/>
          <w:sz w:val="32"/>
          <w:szCs w:val="32"/>
        </w:rPr>
      </w:pPr>
      <w:r>
        <w:rPr>
          <w:rFonts w:ascii="仿宋_GB2312" w:eastAsia="仿宋_GB2312" w:hint="eastAsia"/>
          <w:sz w:val="32"/>
          <w:szCs w:val="32"/>
        </w:rPr>
        <w:t>根据《银行保险机构关联交易管理办法》（中国银行保险监督管理委员会令〔2022〕1号）文件要求，广东乳源农村商业银行股份有限公司（以下简称“我行”）按季对关联方的相关交易情况进行排查、整理、汇总，现将2024年第一季度相关情况报告如下：</w:t>
      </w:r>
    </w:p>
    <w:p w:rsidR="004960CD" w:rsidRDefault="004960CD" w:rsidP="00C174F1">
      <w:pPr>
        <w:spacing w:line="586" w:lineRule="exact"/>
        <w:ind w:firstLineChars="200" w:firstLine="637"/>
        <w:rPr>
          <w:rFonts w:ascii="黑体" w:eastAsia="黑体"/>
          <w:sz w:val="32"/>
          <w:szCs w:val="32"/>
        </w:rPr>
      </w:pPr>
      <w:r>
        <w:rPr>
          <w:rFonts w:ascii="黑体" w:eastAsia="黑体" w:hint="eastAsia"/>
          <w:sz w:val="32"/>
          <w:szCs w:val="32"/>
        </w:rPr>
        <w:t>一、基本情况</w:t>
      </w:r>
    </w:p>
    <w:p w:rsidR="004960CD" w:rsidRDefault="004960CD" w:rsidP="0011726C">
      <w:pPr>
        <w:spacing w:line="586" w:lineRule="exact"/>
        <w:ind w:firstLineChars="200" w:firstLine="637"/>
        <w:rPr>
          <w:rFonts w:ascii="仿宋_GB2312" w:eastAsia="仿宋_GB2312"/>
          <w:sz w:val="32"/>
          <w:szCs w:val="32"/>
        </w:rPr>
      </w:pPr>
      <w:r w:rsidRPr="004960CD">
        <w:rPr>
          <w:rFonts w:ascii="仿宋_GB2312" w:eastAsia="仿宋_GB2312" w:hint="eastAsia"/>
          <w:sz w:val="32"/>
          <w:szCs w:val="32"/>
        </w:rPr>
        <w:t>我行的关联方包括关联自然人、法人或其他组织。其中关联自然人包括自然人控股股东、实际控制人、一致行动人、最终受益人、持有或控制</w:t>
      </w:r>
      <w:r w:rsidRPr="004960CD">
        <w:rPr>
          <w:rFonts w:ascii="仿宋_GB2312" w:eastAsia="仿宋_GB2312"/>
          <w:sz w:val="32"/>
          <w:szCs w:val="32"/>
        </w:rPr>
        <w:t xml:space="preserve"> 5%以上股权或持股不足5%但对我行经营管理有重大影响的自然人、董事、监事、总行和一级支行(营业部)的高级管理人员以及占我行上季末资本净额2%(含)以上且不低于800 </w:t>
      </w:r>
      <w:r w:rsidRPr="004960CD">
        <w:rPr>
          <w:rFonts w:ascii="仿宋_GB2312" w:eastAsia="仿宋_GB2312" w:hint="eastAsia"/>
          <w:sz w:val="32"/>
          <w:szCs w:val="32"/>
        </w:rPr>
        <w:t>万元的大额授信、资产转移、保险资金运用等核心业务审批或决策权的人员及其近亲属。截至</w:t>
      </w:r>
      <w:r w:rsidRPr="004960CD">
        <w:rPr>
          <w:rFonts w:ascii="仿宋_GB2312" w:eastAsia="仿宋_GB2312"/>
          <w:sz w:val="32"/>
          <w:szCs w:val="32"/>
        </w:rPr>
        <w:t>2024年3</w:t>
      </w:r>
      <w:r w:rsidRPr="004960CD">
        <w:rPr>
          <w:rFonts w:ascii="仿宋_GB2312" w:eastAsia="仿宋_GB2312" w:hint="eastAsia"/>
          <w:sz w:val="32"/>
          <w:szCs w:val="32"/>
        </w:rPr>
        <w:t>月末，我行全部关联贷款余额</w:t>
      </w:r>
      <w:r w:rsidRPr="004960CD">
        <w:rPr>
          <w:rFonts w:ascii="仿宋_GB2312" w:eastAsia="仿宋_GB2312"/>
          <w:sz w:val="32"/>
          <w:szCs w:val="32"/>
        </w:rPr>
        <w:t>5706.51万元，其中关联自然人7户，贷款余额283.88万元，关联企业法人3户，贷款余额5422.63万元</w:t>
      </w:r>
      <w:r w:rsidRPr="004960CD">
        <w:rPr>
          <w:rFonts w:ascii="仿宋_GB2312" w:eastAsia="仿宋_GB2312" w:hint="eastAsia"/>
          <w:sz w:val="32"/>
          <w:szCs w:val="32"/>
        </w:rPr>
        <w:t>。</w:t>
      </w:r>
    </w:p>
    <w:p w:rsidR="004960CD" w:rsidRDefault="004960CD" w:rsidP="00C174F1">
      <w:pPr>
        <w:spacing w:line="586" w:lineRule="exact"/>
        <w:ind w:firstLineChars="200" w:firstLine="637"/>
        <w:outlineLvl w:val="0"/>
        <w:rPr>
          <w:rFonts w:ascii="黑体" w:eastAsia="黑体"/>
          <w:sz w:val="32"/>
          <w:szCs w:val="32"/>
        </w:rPr>
      </w:pPr>
      <w:r>
        <w:rPr>
          <w:rFonts w:ascii="黑体" w:eastAsia="黑体" w:hint="eastAsia"/>
          <w:sz w:val="32"/>
          <w:szCs w:val="32"/>
        </w:rPr>
        <w:t>二、关联交易情况</w:t>
      </w:r>
    </w:p>
    <w:p w:rsidR="004960CD" w:rsidRPr="004960CD" w:rsidRDefault="004960CD" w:rsidP="00C174F1">
      <w:pPr>
        <w:pStyle w:val="HTML"/>
        <w:widowControl/>
        <w:spacing w:line="586" w:lineRule="exact"/>
        <w:ind w:firstLineChars="200" w:firstLine="637"/>
        <w:rPr>
          <w:rFonts w:ascii="仿宋_GB2312" w:eastAsia="仿宋_GB2312"/>
          <w:sz w:val="32"/>
          <w:szCs w:val="32"/>
        </w:rPr>
      </w:pPr>
      <w:r w:rsidRPr="004960CD">
        <w:rPr>
          <w:rFonts w:ascii="楷体_GB2312" w:eastAsia="楷体_GB2312"/>
          <w:sz w:val="32"/>
          <w:szCs w:val="32"/>
        </w:rPr>
        <w:lastRenderedPageBreak/>
        <w:t>（一）重大关联交易情况。</w:t>
      </w:r>
      <w:r w:rsidRPr="004960CD">
        <w:rPr>
          <w:rFonts w:ascii="仿宋_GB2312" w:eastAsia="仿宋_GB2312"/>
          <w:sz w:val="32"/>
          <w:szCs w:val="32"/>
        </w:rPr>
        <w:t>根据《银行保险机构关联交易管理办法》规定，我行按照要求在重大关联交易自批准之日起十五个工作日内向监管部门进行了报告。</w:t>
      </w:r>
      <w:r w:rsidRPr="004960CD">
        <w:rPr>
          <w:rFonts w:ascii="仿宋_GB2312" w:eastAsia="仿宋_GB2312" w:hint="default"/>
          <w:sz w:val="32"/>
          <w:szCs w:val="32"/>
        </w:rPr>
        <w:t>一是拟对深圳市东阳光实业发展有限公司及关联方在我行的全部关联交易额度为3400万元(含授信、资产租赁、提供服务及监管机构认定的其他关联交易事项)，二是拟对乳源瑶族自治县银源电力集团有限公司及关联方在我行的全部关联交易额度为3200万元(含授信、资产租赁、提供服务及监管机构认定的其他关联交易事项)，三是拟对乳源瑶族自治县建安房地产开发有限公司及关联方在我行的全部关联交易额度为3200万元(含授信、资产租赁、提供服务及监管机构认定的其他关联交易事项)</w:t>
      </w:r>
      <w:r w:rsidRPr="004960CD">
        <w:rPr>
          <w:rFonts w:ascii="仿宋_GB2312" w:eastAsia="仿宋_GB2312"/>
          <w:sz w:val="32"/>
          <w:szCs w:val="32"/>
        </w:rPr>
        <w:t>，四是拟向韶关市韶关市云海旅游投资有限公司发放贷款</w:t>
      </w:r>
      <w:r w:rsidRPr="004960CD">
        <w:rPr>
          <w:rFonts w:ascii="仿宋_GB2312" w:eastAsia="仿宋_GB2312" w:hint="default"/>
          <w:sz w:val="32"/>
          <w:szCs w:val="32"/>
        </w:rPr>
        <w:t>410</w:t>
      </w:r>
      <w:r w:rsidRPr="004960CD">
        <w:rPr>
          <w:rFonts w:ascii="仿宋_GB2312" w:eastAsia="仿宋_GB2312"/>
          <w:sz w:val="32"/>
          <w:szCs w:val="32"/>
        </w:rPr>
        <w:t>万元（朱家杰系乳源瑶族自治县建安房地产开发有限公司关联方，为本次交易提供连带责任保证担保人）</w:t>
      </w:r>
      <w:r w:rsidRPr="004960CD">
        <w:rPr>
          <w:rFonts w:ascii="仿宋_GB2312" w:eastAsia="仿宋_GB2312" w:hint="default"/>
          <w:sz w:val="32"/>
          <w:szCs w:val="32"/>
        </w:rPr>
        <w:t>。</w:t>
      </w:r>
    </w:p>
    <w:p w:rsidR="004960CD" w:rsidRDefault="004960CD">
      <w:pPr>
        <w:ind w:firstLine="640"/>
        <w:rPr>
          <w:rFonts w:ascii="仿宋_GB2312" w:eastAsia="仿宋_GB2312"/>
          <w:sz w:val="32"/>
          <w:szCs w:val="32"/>
        </w:rPr>
      </w:pPr>
      <w:r>
        <w:rPr>
          <w:rFonts w:ascii="楷体_GB2312" w:eastAsia="楷体_GB2312" w:hint="eastAsia"/>
          <w:sz w:val="32"/>
          <w:szCs w:val="32"/>
        </w:rPr>
        <w:t>（二）关联交易定价方式。</w:t>
      </w:r>
      <w:r>
        <w:rPr>
          <w:rFonts w:ascii="仿宋_GB2312" w:eastAsia="仿宋_GB2312" w:hint="eastAsia"/>
          <w:sz w:val="32"/>
          <w:szCs w:val="32"/>
        </w:rPr>
        <w:t>关联交易定价根据本行的贷款利率定价等相关制度规定，关联方定价未优于其他非关联方。</w:t>
      </w:r>
    </w:p>
    <w:p w:rsidR="004960CD" w:rsidRDefault="004960CD" w:rsidP="00C174F1">
      <w:pPr>
        <w:spacing w:line="586" w:lineRule="exact"/>
        <w:ind w:firstLineChars="200" w:firstLine="637"/>
        <w:rPr>
          <w:rFonts w:ascii="仿宋_GB2312" w:eastAsia="仿宋_GB2312"/>
          <w:sz w:val="32"/>
          <w:szCs w:val="32"/>
        </w:rPr>
      </w:pPr>
      <w:r>
        <w:rPr>
          <w:rFonts w:ascii="楷体_GB2312" w:eastAsia="楷体_GB2312" w:hint="eastAsia"/>
          <w:sz w:val="32"/>
          <w:szCs w:val="32"/>
        </w:rPr>
        <w:t>（三）关联交易收益与损失。</w:t>
      </w:r>
      <w:r>
        <w:rPr>
          <w:rFonts w:ascii="仿宋_GB2312" w:eastAsia="仿宋_GB2312" w:hint="eastAsia"/>
          <w:sz w:val="32"/>
          <w:szCs w:val="32"/>
        </w:rPr>
        <w:t>截至202</w:t>
      </w:r>
      <w:r w:rsidRPr="004960CD">
        <w:rPr>
          <w:rFonts w:ascii="仿宋_GB2312" w:eastAsia="仿宋_GB2312"/>
          <w:sz w:val="32"/>
          <w:szCs w:val="32"/>
        </w:rPr>
        <w:t>4</w:t>
      </w:r>
      <w:r>
        <w:rPr>
          <w:rFonts w:ascii="仿宋_GB2312" w:eastAsia="仿宋_GB2312" w:hint="eastAsia"/>
          <w:sz w:val="32"/>
          <w:szCs w:val="32"/>
        </w:rPr>
        <w:t>年</w:t>
      </w:r>
      <w:r w:rsidRPr="004960CD">
        <w:rPr>
          <w:rFonts w:ascii="仿宋_GB2312" w:eastAsia="仿宋_GB2312"/>
          <w:sz w:val="32"/>
          <w:szCs w:val="32"/>
        </w:rPr>
        <w:t>3</w:t>
      </w:r>
      <w:r>
        <w:rPr>
          <w:rFonts w:ascii="仿宋_GB2312" w:eastAsia="仿宋_GB2312" w:hint="eastAsia"/>
          <w:sz w:val="32"/>
          <w:szCs w:val="32"/>
        </w:rPr>
        <w:t>月末，我行关联交易无不良</w:t>
      </w:r>
      <w:r w:rsidRPr="004960CD">
        <w:rPr>
          <w:rFonts w:ascii="仿宋_GB2312" w:eastAsia="仿宋_GB2312"/>
          <w:sz w:val="32"/>
          <w:szCs w:val="32"/>
        </w:rPr>
        <w:t>,</w:t>
      </w:r>
      <w:r>
        <w:rPr>
          <w:rFonts w:ascii="仿宋_GB2312" w:eastAsia="仿宋_GB2312" w:hint="eastAsia"/>
          <w:sz w:val="32"/>
          <w:szCs w:val="32"/>
        </w:rPr>
        <w:t>谢佳聪59.94万元</w:t>
      </w:r>
      <w:r w:rsidRPr="004960CD">
        <w:rPr>
          <w:rFonts w:ascii="仿宋_GB2312" w:eastAsia="仿宋_GB2312" w:hint="eastAsia"/>
          <w:sz w:val="32"/>
          <w:szCs w:val="32"/>
        </w:rPr>
        <w:t>贷款</w:t>
      </w:r>
      <w:r>
        <w:rPr>
          <w:rFonts w:ascii="仿宋_GB2312" w:eastAsia="仿宋_GB2312" w:hint="eastAsia"/>
          <w:sz w:val="32"/>
          <w:szCs w:val="32"/>
        </w:rPr>
        <w:t>出现逾期情况。</w:t>
      </w:r>
    </w:p>
    <w:p w:rsidR="004960CD" w:rsidRPr="004960CD" w:rsidRDefault="004960CD" w:rsidP="0011726C">
      <w:pPr>
        <w:spacing w:line="586" w:lineRule="exact"/>
        <w:ind w:firstLineChars="200" w:firstLine="637"/>
        <w:rPr>
          <w:rFonts w:ascii="仿宋_GB2312" w:eastAsia="仿宋_GB2312"/>
          <w:sz w:val="32"/>
          <w:szCs w:val="32"/>
        </w:rPr>
      </w:pPr>
      <w:r>
        <w:rPr>
          <w:rFonts w:ascii="楷体_GB2312" w:eastAsia="楷体_GB2312" w:hint="eastAsia"/>
          <w:sz w:val="32"/>
          <w:szCs w:val="32"/>
        </w:rPr>
        <w:t>（四）关联方在交易中所占权益的相关情况。</w:t>
      </w:r>
      <w:r w:rsidRPr="004960CD">
        <w:rPr>
          <w:rFonts w:ascii="仿宋_GB2312" w:eastAsia="仿宋_GB2312" w:hint="eastAsia"/>
          <w:sz w:val="32"/>
          <w:szCs w:val="32"/>
        </w:rPr>
        <w:t>我行关联方的关联交易主要为中长期贷款。截至</w:t>
      </w:r>
      <w:r w:rsidRPr="004960CD">
        <w:rPr>
          <w:rFonts w:ascii="仿宋_GB2312" w:eastAsia="仿宋_GB2312"/>
          <w:sz w:val="32"/>
          <w:szCs w:val="32"/>
        </w:rPr>
        <w:t>2024年3</w:t>
      </w:r>
      <w:r w:rsidRPr="004960CD">
        <w:rPr>
          <w:rFonts w:ascii="仿宋_GB2312" w:eastAsia="仿宋_GB2312" w:hint="eastAsia"/>
          <w:sz w:val="32"/>
          <w:szCs w:val="32"/>
        </w:rPr>
        <w:t>月末，全部关联方贷款授信余额为</w:t>
      </w:r>
      <w:r w:rsidRPr="004960CD">
        <w:rPr>
          <w:rFonts w:ascii="仿宋_GB2312" w:eastAsia="仿宋_GB2312"/>
          <w:sz w:val="32"/>
          <w:szCs w:val="32"/>
        </w:rPr>
        <w:t>5706.51</w:t>
      </w:r>
      <w:r w:rsidRPr="004960CD">
        <w:rPr>
          <w:rFonts w:ascii="仿宋_GB2312" w:eastAsia="仿宋_GB2312" w:hint="eastAsia"/>
          <w:sz w:val="32"/>
          <w:szCs w:val="32"/>
        </w:rPr>
        <w:t>万元，占资本净额</w:t>
      </w:r>
      <w:r w:rsidRPr="004960CD">
        <w:rPr>
          <w:rFonts w:ascii="仿宋_GB2312" w:eastAsia="仿宋_GB2312"/>
          <w:sz w:val="32"/>
          <w:szCs w:val="32"/>
        </w:rPr>
        <w:t>(本文</w:t>
      </w:r>
      <w:r w:rsidRPr="004960CD">
        <w:rPr>
          <w:rFonts w:ascii="仿宋_GB2312" w:eastAsia="仿宋_GB2312"/>
          <w:sz w:val="32"/>
          <w:szCs w:val="32"/>
        </w:rPr>
        <w:t>“</w:t>
      </w:r>
      <w:r w:rsidRPr="004960CD">
        <w:rPr>
          <w:rFonts w:ascii="仿宋_GB2312" w:eastAsia="仿宋_GB2312"/>
          <w:sz w:val="32"/>
          <w:szCs w:val="32"/>
        </w:rPr>
        <w:t>资本净额</w:t>
      </w:r>
      <w:r w:rsidRPr="004960CD">
        <w:rPr>
          <w:rFonts w:ascii="仿宋_GB2312" w:eastAsia="仿宋_GB2312"/>
          <w:sz w:val="32"/>
          <w:szCs w:val="32"/>
        </w:rPr>
        <w:t>”</w:t>
      </w:r>
      <w:r w:rsidRPr="004960CD">
        <w:rPr>
          <w:rFonts w:ascii="仿宋_GB2312" w:eastAsia="仿宋_GB2312"/>
          <w:sz w:val="32"/>
          <w:szCs w:val="32"/>
        </w:rPr>
        <w:t>是指上季末资本净额，下同)比重为12.7%，符合《银行保险机构</w:t>
      </w:r>
      <w:r w:rsidRPr="004960CD">
        <w:rPr>
          <w:rFonts w:ascii="仿宋_GB2312" w:eastAsia="仿宋_GB2312"/>
          <w:sz w:val="32"/>
          <w:szCs w:val="32"/>
        </w:rPr>
        <w:lastRenderedPageBreak/>
        <w:t>关联交易管理办法》对全部关联方的授信余额不得超过银行机构上季末资本净额的 50%的规定;最高单个关联方贷款授信余额为 3032.63</w:t>
      </w:r>
      <w:r w:rsidRPr="004960CD">
        <w:rPr>
          <w:rFonts w:ascii="仿宋_GB2312" w:eastAsia="仿宋_GB2312" w:hint="eastAsia"/>
          <w:sz w:val="32"/>
          <w:szCs w:val="32"/>
        </w:rPr>
        <w:t>万元，占资本净额比重为</w:t>
      </w:r>
      <w:r w:rsidRPr="004960CD">
        <w:rPr>
          <w:rFonts w:ascii="仿宋_GB2312" w:eastAsia="仿宋_GB2312"/>
          <w:sz w:val="32"/>
          <w:szCs w:val="32"/>
        </w:rPr>
        <w:t>6.8%，符合《银行保险机构关联交易管理办法》第十六条</w:t>
      </w:r>
      <w:r w:rsidRPr="004960CD">
        <w:rPr>
          <w:rFonts w:ascii="仿宋_GB2312" w:eastAsia="仿宋_GB2312"/>
          <w:sz w:val="32"/>
          <w:szCs w:val="32"/>
        </w:rPr>
        <w:t>“</w:t>
      </w:r>
      <w:r w:rsidRPr="004960CD">
        <w:rPr>
          <w:rFonts w:ascii="仿宋_GB2312" w:eastAsia="仿宋_GB2312"/>
          <w:sz w:val="32"/>
          <w:szCs w:val="32"/>
        </w:rPr>
        <w:t>对单个关联方的授信余额不得超</w:t>
      </w:r>
      <w:r w:rsidRPr="004960CD">
        <w:rPr>
          <w:rFonts w:ascii="仿宋_GB2312" w:eastAsia="仿宋_GB2312" w:hint="eastAsia"/>
          <w:sz w:val="32"/>
          <w:szCs w:val="32"/>
        </w:rPr>
        <w:t>过银行机构上季末资本净额的</w:t>
      </w:r>
      <w:r w:rsidRPr="004960CD">
        <w:rPr>
          <w:rFonts w:ascii="仿宋_GB2312" w:eastAsia="仿宋_GB2312"/>
          <w:sz w:val="32"/>
          <w:szCs w:val="32"/>
        </w:rPr>
        <w:t xml:space="preserve"> 10%</w:t>
      </w:r>
      <w:r w:rsidRPr="004960CD">
        <w:rPr>
          <w:rFonts w:ascii="仿宋_GB2312" w:eastAsia="仿宋_GB2312"/>
          <w:sz w:val="32"/>
          <w:szCs w:val="32"/>
        </w:rPr>
        <w:t>”</w:t>
      </w:r>
      <w:r w:rsidRPr="004960CD">
        <w:rPr>
          <w:rFonts w:ascii="仿宋_GB2312" w:eastAsia="仿宋_GB2312"/>
          <w:sz w:val="32"/>
          <w:szCs w:val="32"/>
        </w:rPr>
        <w:t>的规定;最高单个关联法人或其他组织所在集团贷款授信余额为3032.63</w:t>
      </w:r>
      <w:r w:rsidRPr="004960CD">
        <w:rPr>
          <w:rFonts w:ascii="仿宋_GB2312" w:eastAsia="仿宋_GB2312" w:hint="eastAsia"/>
          <w:sz w:val="32"/>
          <w:szCs w:val="32"/>
        </w:rPr>
        <w:t>万元，占资本净额比重为</w:t>
      </w:r>
      <w:r w:rsidRPr="004960CD">
        <w:rPr>
          <w:rFonts w:ascii="仿宋_GB2312" w:eastAsia="仿宋_GB2312"/>
          <w:sz w:val="32"/>
          <w:szCs w:val="32"/>
        </w:rPr>
        <w:t>6.8%，符合《银行保险机构关联交易管理办法》第十六条</w:t>
      </w:r>
      <w:r w:rsidRPr="004960CD">
        <w:rPr>
          <w:rFonts w:ascii="仿宋_GB2312" w:eastAsia="仿宋_GB2312"/>
          <w:sz w:val="32"/>
          <w:szCs w:val="32"/>
        </w:rPr>
        <w:t>“</w:t>
      </w:r>
      <w:r w:rsidRPr="004960CD">
        <w:rPr>
          <w:rFonts w:ascii="仿宋_GB2312" w:eastAsia="仿宋_GB2312"/>
          <w:sz w:val="32"/>
          <w:szCs w:val="32"/>
        </w:rPr>
        <w:t>对单个关联法人或非法人</w:t>
      </w:r>
      <w:r>
        <w:rPr>
          <w:rFonts w:ascii="仿宋_GB2312" w:eastAsia="仿宋_GB2312" w:hint="eastAsia"/>
          <w:sz w:val="32"/>
          <w:szCs w:val="32"/>
        </w:rPr>
        <w:t>组织所在集团客户的授信余额总数不得超过资本净额的</w:t>
      </w:r>
      <w:r>
        <w:rPr>
          <w:rFonts w:ascii="仿宋_GB2312" w:eastAsia="仿宋_GB2312"/>
          <w:sz w:val="32"/>
          <w:szCs w:val="32"/>
        </w:rPr>
        <w:t>15%</w:t>
      </w:r>
      <w:r>
        <w:rPr>
          <w:rFonts w:ascii="仿宋_GB2312" w:eastAsia="仿宋_GB2312" w:hint="eastAsia"/>
          <w:sz w:val="32"/>
          <w:szCs w:val="32"/>
        </w:rPr>
        <w:t>”的规定。</w:t>
      </w:r>
    </w:p>
    <w:p w:rsidR="004960CD" w:rsidRDefault="004960CD" w:rsidP="0011726C">
      <w:pPr>
        <w:spacing w:line="586" w:lineRule="exact"/>
        <w:ind w:firstLineChars="200" w:firstLine="637"/>
        <w:outlineLvl w:val="0"/>
        <w:rPr>
          <w:rFonts w:ascii="黑体" w:eastAsia="黑体"/>
          <w:sz w:val="32"/>
          <w:szCs w:val="32"/>
        </w:rPr>
      </w:pPr>
      <w:r>
        <w:rPr>
          <w:rFonts w:ascii="黑体" w:eastAsia="黑体" w:hint="eastAsia"/>
          <w:sz w:val="32"/>
          <w:szCs w:val="32"/>
        </w:rPr>
        <w:t>三、管理情况</w:t>
      </w:r>
    </w:p>
    <w:p w:rsidR="004960CD" w:rsidRDefault="004960CD" w:rsidP="00C174F1">
      <w:pPr>
        <w:ind w:firstLineChars="200" w:firstLine="637"/>
        <w:rPr>
          <w:rFonts w:ascii="仿宋_GB2312" w:eastAsia="仿宋_GB2312"/>
          <w:sz w:val="32"/>
          <w:szCs w:val="32"/>
        </w:rPr>
      </w:pPr>
      <w:r>
        <w:rPr>
          <w:rFonts w:ascii="仿宋_GB2312" w:eastAsia="仿宋_GB2312" w:hint="eastAsia"/>
          <w:sz w:val="32"/>
          <w:szCs w:val="32"/>
        </w:rPr>
        <w:t>我行能根据监管部门有关规定，定期收集、更新关联方信息，主动监测关联方的关联交易信息，有效实施关联方分类管理，加强关联方的动态管理与更新。在今后工作中，我行会持续加强关联交易管理，确保关联交易业务规范、有序开展，并按季向监管部门报告最新的关联交易情况。</w:t>
      </w:r>
    </w:p>
    <w:p w:rsidR="004960CD" w:rsidRDefault="004960CD" w:rsidP="004960CD">
      <w:pPr>
        <w:ind w:firstLineChars="200" w:firstLine="637"/>
        <w:rPr>
          <w:rFonts w:ascii="仿宋_GB2312" w:eastAsia="仿宋_GB2312"/>
          <w:sz w:val="32"/>
          <w:szCs w:val="32"/>
        </w:rPr>
      </w:pPr>
      <w:bookmarkStart w:id="1" w:name="accessories"/>
      <w:bookmarkEnd w:id="1"/>
    </w:p>
    <w:p w:rsidR="004960CD" w:rsidRDefault="004960CD" w:rsidP="00C174F1">
      <w:pPr>
        <w:spacing w:line="590" w:lineRule="exact"/>
        <w:ind w:rightChars="-1" w:right="-3"/>
        <w:jc w:val="right"/>
        <w:rPr>
          <w:rFonts w:ascii="仿宋_GB2312" w:eastAsia="仿宋_GB2312"/>
          <w:sz w:val="32"/>
          <w:szCs w:val="32"/>
        </w:rPr>
      </w:pPr>
    </w:p>
    <w:p w:rsidR="004960CD" w:rsidRDefault="004960CD" w:rsidP="0011726C">
      <w:pPr>
        <w:spacing w:line="590" w:lineRule="exact"/>
        <w:ind w:rightChars="-1" w:right="-3"/>
        <w:jc w:val="right"/>
        <w:rPr>
          <w:rFonts w:ascii="仿宋_GB2312" w:eastAsia="仿宋_GB2312"/>
          <w:sz w:val="32"/>
          <w:szCs w:val="32"/>
        </w:rPr>
      </w:pPr>
    </w:p>
    <w:p w:rsidR="004960CD" w:rsidRDefault="004960CD" w:rsidP="0011726C">
      <w:pPr>
        <w:spacing w:line="590" w:lineRule="exact"/>
        <w:ind w:rightChars="-1" w:right="-3"/>
        <w:jc w:val="right"/>
        <w:rPr>
          <w:rFonts w:ascii="仿宋_GB2312" w:eastAsia="仿宋_GB2312"/>
          <w:sz w:val="32"/>
          <w:szCs w:val="32"/>
        </w:rPr>
      </w:pPr>
      <w:r>
        <w:rPr>
          <w:rFonts w:ascii="仿宋_GB2312" w:eastAsia="仿宋_GB2312" w:hint="eastAsia"/>
          <w:sz w:val="32"/>
          <w:szCs w:val="32"/>
        </w:rPr>
        <w:t>广东乳源农村商业银行股份有限公司</w:t>
      </w:r>
    </w:p>
    <w:p w:rsidR="004960CD" w:rsidRDefault="004960CD" w:rsidP="0011726C">
      <w:pPr>
        <w:spacing w:line="590" w:lineRule="exact"/>
        <w:ind w:rightChars="-1" w:right="-3"/>
        <w:jc w:val="right"/>
        <w:rPr>
          <w:rFonts w:ascii="仿宋_GB2312" w:eastAsia="仿宋_GB2312"/>
          <w:sz w:val="32"/>
          <w:szCs w:val="32"/>
        </w:rPr>
      </w:pPr>
      <w:bookmarkStart w:id="2" w:name="_GoBack"/>
      <w:bookmarkEnd w:id="2"/>
    </w:p>
    <w:p w:rsidR="004960CD" w:rsidRDefault="004960CD">
      <w:pPr>
        <w:spacing w:line="590" w:lineRule="exact"/>
        <w:jc w:val="right"/>
        <w:rPr>
          <w:rFonts w:ascii="黑体" w:eastAsia="黑体"/>
          <w:spacing w:val="2"/>
        </w:rPr>
      </w:pPr>
    </w:p>
    <w:p w:rsidR="004960CD" w:rsidRDefault="004960CD" w:rsidP="004960CD">
      <w:pPr>
        <w:spacing w:line="590" w:lineRule="exact"/>
        <w:rPr>
          <w:rFonts w:ascii="仿宋_GB2312" w:eastAsia="仿宋_GB2312"/>
          <w:sz w:val="32"/>
          <w:szCs w:val="32"/>
        </w:rPr>
      </w:pPr>
    </w:p>
    <w:sectPr w:rsidR="004960CD" w:rsidSect="004960CD">
      <w:footerReference w:type="even" r:id="rId8"/>
      <w:footerReference w:type="default" r:id="rId9"/>
      <w:pgSz w:w="11906" w:h="16838"/>
      <w:pgMar w:top="1814" w:right="1418" w:bottom="1814" w:left="1531" w:header="964" w:footer="1644" w:gutter="0"/>
      <w:cols w:space="720"/>
      <w:docGrid w:type="linesAndChars" w:linePitch="600"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CF6" w:rsidRDefault="00043CF6" w:rsidP="004960CD">
      <w:r>
        <w:separator/>
      </w:r>
    </w:p>
  </w:endnote>
  <w:endnote w:type="continuationSeparator" w:id="1">
    <w:p w:rsidR="00043CF6" w:rsidRDefault="00043CF6" w:rsidP="00496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xi Sans">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创艺简标宋">
    <w:panose1 w:val="00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CD" w:rsidRDefault="00043CF6">
    <w:pPr>
      <w:pStyle w:val="a8"/>
      <w:framePr w:w="1503" w:wrap="around" w:vAnchor="text" w:hAnchor="page" w:x="1419" w:y="56"/>
      <w:jc w:val="center"/>
      <w:rPr>
        <w:rStyle w:val="aa"/>
        <w:sz w:val="24"/>
      </w:rPr>
    </w:pPr>
    <w:r>
      <w:rPr>
        <w:rStyle w:val="aa"/>
        <w:rFonts w:ascii="仿宋_GB2312" w:hAnsi="仿宋_GB2312" w:hint="eastAsia"/>
        <w:b/>
        <w:sz w:val="24"/>
      </w:rPr>
      <w:t>—</w:t>
    </w:r>
    <w:r w:rsidR="004960CD" w:rsidRPr="004960CD">
      <w:rPr>
        <w:rStyle w:val="aa"/>
      </w:rPr>
      <w:fldChar w:fldCharType="begin"/>
    </w:r>
    <w:r>
      <w:rPr>
        <w:rStyle w:val="aa"/>
        <w:b/>
        <w:spacing w:val="-6"/>
        <w:sz w:val="28"/>
        <w:szCs w:val="28"/>
      </w:rPr>
      <w:instrText xml:space="preserve">PAGE  </w:instrText>
    </w:r>
    <w:r w:rsidR="004960CD">
      <w:rPr>
        <w:b/>
        <w:spacing w:val="-6"/>
        <w:sz w:val="28"/>
        <w:szCs w:val="28"/>
      </w:rPr>
      <w:fldChar w:fldCharType="separate"/>
    </w:r>
    <w:r w:rsidR="0011726C">
      <w:rPr>
        <w:rStyle w:val="aa"/>
        <w:b/>
        <w:noProof/>
        <w:spacing w:val="-6"/>
        <w:sz w:val="28"/>
        <w:szCs w:val="28"/>
      </w:rPr>
      <w:t>2</w:t>
    </w:r>
    <w:r w:rsidR="004960CD">
      <w:rPr>
        <w:b/>
        <w:spacing w:val="-6"/>
        <w:sz w:val="28"/>
        <w:szCs w:val="28"/>
      </w:rPr>
      <w:fldChar w:fldCharType="end"/>
    </w:r>
    <w:r>
      <w:rPr>
        <w:rStyle w:val="aa"/>
        <w:rFonts w:ascii="仿宋_GB2312" w:hAnsi="仿宋_GB2312" w:hint="eastAsia"/>
        <w:b/>
        <w:sz w:val="24"/>
      </w:rPr>
      <w:t>—</w:t>
    </w:r>
  </w:p>
  <w:p w:rsidR="004960CD" w:rsidRDefault="004960C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CD" w:rsidRDefault="00043CF6">
    <w:pPr>
      <w:pStyle w:val="a8"/>
      <w:framePr w:w="1435" w:wrap="around" w:vAnchor="text" w:hAnchor="page" w:x="9007" w:y="56"/>
      <w:jc w:val="center"/>
      <w:rPr>
        <w:rStyle w:val="aa"/>
        <w:sz w:val="24"/>
      </w:rPr>
    </w:pPr>
    <w:r>
      <w:rPr>
        <w:rStyle w:val="aa"/>
        <w:rFonts w:ascii="仿宋_GB2312" w:hAnsi="仿宋_GB2312" w:hint="eastAsia"/>
        <w:b/>
        <w:sz w:val="24"/>
      </w:rPr>
      <w:t>—</w:t>
    </w:r>
    <w:r w:rsidR="004960CD" w:rsidRPr="004960CD">
      <w:rPr>
        <w:rStyle w:val="aa"/>
      </w:rPr>
      <w:fldChar w:fldCharType="begin"/>
    </w:r>
    <w:r>
      <w:rPr>
        <w:rStyle w:val="aa"/>
        <w:b/>
        <w:spacing w:val="-6"/>
        <w:sz w:val="28"/>
        <w:szCs w:val="28"/>
      </w:rPr>
      <w:instrText xml:space="preserve">PAGE  </w:instrText>
    </w:r>
    <w:r w:rsidR="004960CD">
      <w:rPr>
        <w:b/>
        <w:spacing w:val="-6"/>
        <w:sz w:val="28"/>
        <w:szCs w:val="28"/>
      </w:rPr>
      <w:fldChar w:fldCharType="separate"/>
    </w:r>
    <w:r w:rsidR="0011726C">
      <w:rPr>
        <w:rStyle w:val="aa"/>
        <w:b/>
        <w:noProof/>
        <w:spacing w:val="-6"/>
        <w:sz w:val="28"/>
        <w:szCs w:val="28"/>
      </w:rPr>
      <w:t>3</w:t>
    </w:r>
    <w:r w:rsidR="004960CD">
      <w:rPr>
        <w:b/>
        <w:spacing w:val="-6"/>
        <w:sz w:val="28"/>
        <w:szCs w:val="28"/>
      </w:rPr>
      <w:fldChar w:fldCharType="end"/>
    </w:r>
    <w:r>
      <w:rPr>
        <w:rStyle w:val="aa"/>
        <w:rFonts w:ascii="仿宋_GB2312" w:hAnsi="仿宋_GB2312" w:hint="eastAsia"/>
        <w:b/>
        <w:sz w:val="24"/>
      </w:rPr>
      <w:t>—</w:t>
    </w:r>
  </w:p>
  <w:p w:rsidR="004960CD" w:rsidRDefault="004960CD">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CF6" w:rsidRDefault="00043CF6" w:rsidP="004960CD">
      <w:r>
        <w:separator/>
      </w:r>
    </w:p>
  </w:footnote>
  <w:footnote w:type="continuationSeparator" w:id="1">
    <w:p w:rsidR="00043CF6" w:rsidRDefault="00043CF6" w:rsidP="004960C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淳海">
    <w15:presenceInfo w15:providerId="None" w15:userId="莫淳海"/>
  </w15:person>
  <w15:person w15:author="徐旭鹏">
    <w15:presenceInfo w15:providerId="None" w15:userId="徐旭鹏"/>
  </w15:person>
  <w15:person w15:author="丘东明">
    <w15:presenceInfo w15:providerId="None" w15:userId="丘东明"/>
  </w15:person>
  <w15:person w15:author="范成朝">
    <w15:presenceInfo w15:providerId="None" w15:userId="范成朝"/>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trackRevisions/>
  <w:defaultTabStop w:val="425"/>
  <w:evenAndOddHeaders/>
  <w:drawingGridHorizontalSpacing w:val="299"/>
  <w:drawingGridVerticalSpacing w:val="300"/>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spaceForUL/>
    <w:balanceSingleByteDoubleByteWidth/>
    <w:ulTrailSpace/>
    <w:doNotExpandShiftReturn/>
    <w:doNotWrapTextWithPunct/>
    <w:doNotUseEastAsianBreakRules/>
    <w:useFELayout/>
    <w:doNotUseIndentAsNumberingTabStop/>
    <w:useAltKinsokuLineBreakRules/>
  </w:compat>
  <w:rsids>
    <w:rsidRoot w:val="00E30BC7"/>
    <w:rsid w:val="000067EF"/>
    <w:rsid w:val="0003479F"/>
    <w:rsid w:val="000401CB"/>
    <w:rsid w:val="00043CF6"/>
    <w:rsid w:val="000A49C0"/>
    <w:rsid w:val="0011726C"/>
    <w:rsid w:val="003218E4"/>
    <w:rsid w:val="00376A3F"/>
    <w:rsid w:val="00396A07"/>
    <w:rsid w:val="003B4BC4"/>
    <w:rsid w:val="004960CD"/>
    <w:rsid w:val="004B76ED"/>
    <w:rsid w:val="00570F8A"/>
    <w:rsid w:val="006240BB"/>
    <w:rsid w:val="006369FE"/>
    <w:rsid w:val="00697895"/>
    <w:rsid w:val="006D0AAA"/>
    <w:rsid w:val="006D3BD7"/>
    <w:rsid w:val="007175E8"/>
    <w:rsid w:val="00774938"/>
    <w:rsid w:val="0077789A"/>
    <w:rsid w:val="0099563E"/>
    <w:rsid w:val="00A07BCF"/>
    <w:rsid w:val="00C174F1"/>
    <w:rsid w:val="00C542E8"/>
    <w:rsid w:val="00C63049"/>
    <w:rsid w:val="00CD5C31"/>
    <w:rsid w:val="00DC7AB1"/>
    <w:rsid w:val="00DE43EE"/>
    <w:rsid w:val="00E0546E"/>
    <w:rsid w:val="00E30BC7"/>
    <w:rsid w:val="00EC618B"/>
    <w:rsid w:val="00F50EA2"/>
    <w:rsid w:val="00F53166"/>
    <w:rsid w:val="00F9617F"/>
    <w:rsid w:val="0E7C55A9"/>
    <w:rsid w:val="3020354E"/>
    <w:rsid w:val="79927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CD"/>
    <w:pPr>
      <w:widowControl w:val="0"/>
      <w:jc w:val="both"/>
    </w:pPr>
    <w:rPr>
      <w:rFonts w:ascii="宋体"/>
      <w:kern w:val="2"/>
      <w:sz w:val="30"/>
    </w:rPr>
  </w:style>
  <w:style w:type="paragraph" w:styleId="1">
    <w:name w:val="heading 1"/>
    <w:basedOn w:val="a"/>
    <w:next w:val="a"/>
    <w:qFormat/>
    <w:rsid w:val="004960CD"/>
    <w:pPr>
      <w:keepNext/>
      <w:keepLines/>
      <w:spacing w:before="340" w:after="330" w:line="578" w:lineRule="auto"/>
      <w:outlineLvl w:val="0"/>
    </w:pPr>
    <w:rPr>
      <w:b/>
      <w:bCs/>
      <w:kern w:val="44"/>
      <w:sz w:val="44"/>
    </w:rPr>
  </w:style>
  <w:style w:type="paragraph" w:styleId="2">
    <w:name w:val="heading 2"/>
    <w:basedOn w:val="a"/>
    <w:next w:val="a"/>
    <w:qFormat/>
    <w:rsid w:val="004960CD"/>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4960C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960CD"/>
    <w:pPr>
      <w:snapToGrid w:val="0"/>
      <w:spacing w:line="260" w:lineRule="exact"/>
    </w:pPr>
    <w:rPr>
      <w:sz w:val="21"/>
    </w:rPr>
  </w:style>
  <w:style w:type="paragraph" w:styleId="a4">
    <w:name w:val="Body Text Indent"/>
    <w:basedOn w:val="a"/>
    <w:qFormat/>
    <w:rsid w:val="004960CD"/>
    <w:pPr>
      <w:snapToGrid w:val="0"/>
      <w:ind w:left="1260" w:hanging="1260"/>
    </w:pPr>
    <w:rPr>
      <w:rFonts w:ascii="楷体_GB2312" w:eastAsia="楷体_GB2312"/>
      <w:sz w:val="24"/>
    </w:rPr>
  </w:style>
  <w:style w:type="paragraph" w:styleId="5">
    <w:name w:val="toc 5"/>
    <w:basedOn w:val="a"/>
    <w:next w:val="a"/>
    <w:qFormat/>
    <w:rsid w:val="004960CD"/>
    <w:pPr>
      <w:ind w:left="1680"/>
    </w:pPr>
  </w:style>
  <w:style w:type="paragraph" w:styleId="30">
    <w:name w:val="toc 3"/>
    <w:basedOn w:val="a"/>
    <w:next w:val="a"/>
    <w:qFormat/>
    <w:rsid w:val="004960CD"/>
    <w:pPr>
      <w:ind w:left="840"/>
    </w:pPr>
  </w:style>
  <w:style w:type="paragraph" w:styleId="a5">
    <w:name w:val="Plain Text"/>
    <w:basedOn w:val="a"/>
    <w:qFormat/>
    <w:rsid w:val="004960CD"/>
  </w:style>
  <w:style w:type="paragraph" w:styleId="a6">
    <w:name w:val="Date"/>
    <w:basedOn w:val="a"/>
    <w:next w:val="a"/>
    <w:qFormat/>
    <w:rsid w:val="004960CD"/>
  </w:style>
  <w:style w:type="paragraph" w:styleId="20">
    <w:name w:val="Body Text Indent 2"/>
    <w:basedOn w:val="a"/>
    <w:qFormat/>
    <w:rsid w:val="004960CD"/>
    <w:pPr>
      <w:ind w:firstLine="600"/>
    </w:pPr>
    <w:rPr>
      <w:rFonts w:ascii="仿宋_GB2312" w:hAnsi="仿宋_GB2312"/>
    </w:rPr>
  </w:style>
  <w:style w:type="paragraph" w:styleId="a7">
    <w:name w:val="Balloon Text"/>
    <w:basedOn w:val="a"/>
    <w:qFormat/>
    <w:rsid w:val="004960CD"/>
    <w:rPr>
      <w:sz w:val="18"/>
      <w:szCs w:val="18"/>
    </w:rPr>
  </w:style>
  <w:style w:type="paragraph" w:styleId="a8">
    <w:name w:val="footer"/>
    <w:basedOn w:val="a"/>
    <w:qFormat/>
    <w:rsid w:val="004960CD"/>
    <w:pPr>
      <w:tabs>
        <w:tab w:val="center" w:pos="4153"/>
        <w:tab w:val="right" w:pos="8306"/>
      </w:tabs>
      <w:snapToGrid w:val="0"/>
      <w:jc w:val="left"/>
    </w:pPr>
    <w:rPr>
      <w:sz w:val="18"/>
    </w:rPr>
  </w:style>
  <w:style w:type="paragraph" w:styleId="a9">
    <w:name w:val="header"/>
    <w:basedOn w:val="a"/>
    <w:qFormat/>
    <w:rsid w:val="004960C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4960CD"/>
  </w:style>
  <w:style w:type="paragraph" w:styleId="4">
    <w:name w:val="toc 4"/>
    <w:basedOn w:val="a"/>
    <w:next w:val="a"/>
    <w:qFormat/>
    <w:rsid w:val="004960CD"/>
    <w:pPr>
      <w:ind w:left="1260"/>
    </w:pPr>
  </w:style>
  <w:style w:type="paragraph" w:styleId="31">
    <w:name w:val="Body Text Indent 3"/>
    <w:basedOn w:val="a"/>
    <w:qFormat/>
    <w:rsid w:val="004960CD"/>
    <w:pPr>
      <w:ind w:firstLine="624"/>
    </w:pPr>
  </w:style>
  <w:style w:type="paragraph" w:styleId="21">
    <w:name w:val="toc 2"/>
    <w:basedOn w:val="a"/>
    <w:next w:val="a"/>
    <w:qFormat/>
    <w:rsid w:val="004960CD"/>
    <w:pPr>
      <w:ind w:left="420"/>
    </w:pPr>
  </w:style>
  <w:style w:type="paragraph" w:styleId="HTML">
    <w:name w:val="HTML Preformatted"/>
    <w:basedOn w:val="a"/>
    <w:uiPriority w:val="99"/>
    <w:semiHidden/>
    <w:unhideWhenUsed/>
    <w:qFormat/>
    <w:rsid w:val="00496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kern w:val="0"/>
      <w:sz w:val="24"/>
      <w:szCs w:val="24"/>
    </w:rPr>
  </w:style>
  <w:style w:type="character" w:styleId="aa">
    <w:name w:val="page number"/>
    <w:basedOn w:val="a0"/>
    <w:qFormat/>
    <w:rsid w:val="004960CD"/>
  </w:style>
  <w:style w:type="paragraph" w:customStyle="1" w:styleId="11">
    <w:name w:val="日期1"/>
    <w:basedOn w:val="a"/>
    <w:next w:val="a"/>
    <w:qFormat/>
    <w:rsid w:val="004960CD"/>
    <w:pPr>
      <w:autoSpaceDE w:val="0"/>
      <w:autoSpaceDN w:val="0"/>
      <w:adjustRightInd w:val="0"/>
      <w:textAlignment w:val="baseline"/>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AACB3CD-D839-424F-8739-BBC72382F7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215</Words>
  <Characters>1229</Characters>
  <Application>Microsoft Office Word</Application>
  <DocSecurity>0</DocSecurity>
  <Lines>10</Lines>
  <Paragraphs>2</Paragraphs>
  <ScaleCrop>false</ScaleCrop>
  <Company>Microsoft</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dc:title>
  <dc:creator>曾令练</dc:creator>
  <cp:keywords>FoxChit SOFTWARE SOLUTIONS</cp:keywords>
  <cp:lastModifiedBy>Administrator</cp:lastModifiedBy>
  <cp:revision>14</cp:revision>
  <cp:lastPrinted>2006-06-22T07:55:00Z</cp:lastPrinted>
  <dcterms:created xsi:type="dcterms:W3CDTF">2023-12-12T02:32:00Z</dcterms:created>
  <dcterms:modified xsi:type="dcterms:W3CDTF">2024-05-14T06:48:00Z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